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78DB1" w14:textId="77777777" w:rsidR="00120E0C" w:rsidRDefault="00120E0C">
      <w:pPr>
        <w:pStyle w:val="BodyText"/>
        <w:spacing w:before="2"/>
        <w:rPr>
          <w:rFonts w:ascii="Times New Roman"/>
          <w:sz w:val="23"/>
        </w:rPr>
      </w:pPr>
    </w:p>
    <w:p w14:paraId="3623764D" w14:textId="77777777" w:rsidR="00120E0C" w:rsidRDefault="00120E0C">
      <w:pPr>
        <w:rPr>
          <w:rFonts w:ascii="Times New Roman"/>
          <w:sz w:val="23"/>
        </w:rPr>
        <w:sectPr w:rsidR="00120E0C">
          <w:type w:val="continuous"/>
          <w:pgSz w:w="12240" w:h="15840"/>
          <w:pgMar w:top="440" w:right="440" w:bottom="280" w:left="740" w:header="720" w:footer="720" w:gutter="0"/>
          <w:cols w:space="720"/>
        </w:sectPr>
      </w:pPr>
    </w:p>
    <w:p w14:paraId="097E3EE5" w14:textId="77777777" w:rsidR="00120E0C" w:rsidRDefault="00467F7B">
      <w:pPr>
        <w:spacing w:before="83" w:line="547" w:lineRule="exact"/>
        <w:ind w:left="2573"/>
        <w:rPr>
          <w:b/>
          <w:sz w:val="53"/>
        </w:rPr>
      </w:pPr>
      <w:r>
        <w:rPr>
          <w:noProof/>
        </w:rPr>
        <w:drawing>
          <wp:anchor distT="0" distB="0" distL="0" distR="0" simplePos="0" relativeHeight="251658240" behindDoc="0" locked="0" layoutInCell="1" allowOverlap="1" wp14:anchorId="4922A61F" wp14:editId="514BD0B2">
            <wp:simplePos x="0" y="0"/>
            <wp:positionH relativeFrom="page">
              <wp:posOffset>536448</wp:posOffset>
            </wp:positionH>
            <wp:positionV relativeFrom="paragraph">
              <wp:posOffset>-174638</wp:posOffset>
            </wp:positionV>
            <wp:extent cx="1438655" cy="13776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438655" cy="1377696"/>
                    </a:xfrm>
                    <a:prstGeom prst="rect">
                      <a:avLst/>
                    </a:prstGeom>
                  </pic:spPr>
                </pic:pic>
              </a:graphicData>
            </a:graphic>
          </wp:anchor>
        </w:drawing>
      </w:r>
      <w:r>
        <w:rPr>
          <w:b/>
          <w:color w:val="2F3331"/>
          <w:w w:val="105"/>
          <w:sz w:val="53"/>
        </w:rPr>
        <w:t>DALLAS AREA</w:t>
      </w:r>
    </w:p>
    <w:p w14:paraId="4B3F7F47" w14:textId="77777777" w:rsidR="00120E0C" w:rsidRDefault="00467F7B">
      <w:pPr>
        <w:spacing w:line="281" w:lineRule="exact"/>
        <w:ind w:left="2591"/>
        <w:rPr>
          <w:b/>
          <w:sz w:val="30"/>
        </w:rPr>
      </w:pPr>
      <w:proofErr w:type="gramStart"/>
      <w:r>
        <w:rPr>
          <w:b/>
          <w:color w:val="2F3331"/>
          <w:w w:val="110"/>
          <w:sz w:val="30"/>
        </w:rPr>
        <w:t>MUNICIPAL  AUTHORITY</w:t>
      </w:r>
      <w:proofErr w:type="gramEnd"/>
    </w:p>
    <w:p w14:paraId="5E02A773" w14:textId="77777777" w:rsidR="00120E0C" w:rsidRDefault="00467F7B">
      <w:pPr>
        <w:pStyle w:val="BodyText"/>
        <w:spacing w:before="0" w:line="252" w:lineRule="exact"/>
        <w:ind w:left="2598"/>
      </w:pPr>
      <w:r>
        <w:rPr>
          <w:color w:val="18181A"/>
          <w:w w:val="105"/>
        </w:rPr>
        <w:t>101 M</w:t>
      </w:r>
      <w:r>
        <w:rPr>
          <w:color w:val="2F3331"/>
          <w:w w:val="105"/>
        </w:rPr>
        <w:t>E</w:t>
      </w:r>
      <w:r>
        <w:rPr>
          <w:color w:val="18181A"/>
          <w:w w:val="105"/>
        </w:rPr>
        <w:t>MORIAL HIGHWAY</w:t>
      </w:r>
    </w:p>
    <w:p w14:paraId="26DECCC2" w14:textId="77777777" w:rsidR="00120E0C" w:rsidRDefault="00467F7B">
      <w:pPr>
        <w:pStyle w:val="BodyText"/>
        <w:ind w:left="2597"/>
      </w:pPr>
      <w:r>
        <w:rPr>
          <w:color w:val="18181A"/>
          <w:w w:val="105"/>
        </w:rPr>
        <w:t>SHAV</w:t>
      </w:r>
      <w:r>
        <w:rPr>
          <w:color w:val="2F3331"/>
          <w:w w:val="105"/>
        </w:rPr>
        <w:t>E</w:t>
      </w:r>
      <w:r>
        <w:rPr>
          <w:color w:val="18181A"/>
          <w:w w:val="105"/>
        </w:rPr>
        <w:t>RTOWN</w:t>
      </w:r>
      <w:r>
        <w:rPr>
          <w:color w:val="2F3331"/>
          <w:w w:val="105"/>
        </w:rPr>
        <w:t xml:space="preserve">, </w:t>
      </w:r>
      <w:r>
        <w:rPr>
          <w:color w:val="18181A"/>
          <w:w w:val="105"/>
        </w:rPr>
        <w:t>PA 18708</w:t>
      </w:r>
      <w:r>
        <w:rPr>
          <w:color w:val="2F3331"/>
          <w:w w:val="105"/>
        </w:rPr>
        <w:t>-</w:t>
      </w:r>
      <w:r>
        <w:rPr>
          <w:color w:val="18181A"/>
          <w:w w:val="105"/>
        </w:rPr>
        <w:t>9603</w:t>
      </w:r>
    </w:p>
    <w:p w14:paraId="4C61EA1E" w14:textId="77777777" w:rsidR="00120E0C" w:rsidRDefault="00467F7B">
      <w:pPr>
        <w:pStyle w:val="BodyText"/>
        <w:spacing w:before="5"/>
        <w:rPr>
          <w:sz w:val="20"/>
        </w:rPr>
      </w:pPr>
      <w:r>
        <w:br w:type="column"/>
      </w:r>
    </w:p>
    <w:p w14:paraId="635F7137" w14:textId="77777777" w:rsidR="00120E0C" w:rsidRDefault="00467F7B">
      <w:pPr>
        <w:pStyle w:val="BodyText"/>
        <w:spacing w:before="0"/>
        <w:ind w:left="945"/>
      </w:pPr>
      <w:r>
        <w:rPr>
          <w:color w:val="18181A"/>
          <w:w w:val="105"/>
        </w:rPr>
        <w:t>PHON</w:t>
      </w:r>
      <w:r>
        <w:rPr>
          <w:color w:val="2F3331"/>
          <w:w w:val="105"/>
        </w:rPr>
        <w:t>E:</w:t>
      </w:r>
      <w:r>
        <w:rPr>
          <w:color w:val="18181A"/>
          <w:w w:val="105"/>
        </w:rPr>
        <w:t>(570) 696</w:t>
      </w:r>
      <w:r>
        <w:rPr>
          <w:color w:val="2F3331"/>
          <w:w w:val="105"/>
        </w:rPr>
        <w:t>-</w:t>
      </w:r>
      <w:r>
        <w:rPr>
          <w:color w:val="18181A"/>
          <w:w w:val="105"/>
        </w:rPr>
        <w:t>1133</w:t>
      </w:r>
    </w:p>
    <w:p w14:paraId="5F872F88" w14:textId="77777777" w:rsidR="00120E0C" w:rsidRDefault="00467F7B">
      <w:pPr>
        <w:pStyle w:val="BodyText"/>
        <w:ind w:left="1302"/>
      </w:pPr>
      <w:r>
        <w:rPr>
          <w:color w:val="18181A"/>
          <w:w w:val="105"/>
        </w:rPr>
        <w:t>FAX</w:t>
      </w:r>
      <w:r>
        <w:rPr>
          <w:color w:val="2F3331"/>
          <w:w w:val="105"/>
        </w:rPr>
        <w:t>:</w:t>
      </w:r>
      <w:r>
        <w:rPr>
          <w:color w:val="18181A"/>
          <w:w w:val="105"/>
        </w:rPr>
        <w:t>(570) 696</w:t>
      </w:r>
      <w:r>
        <w:rPr>
          <w:color w:val="2F3331"/>
          <w:w w:val="105"/>
        </w:rPr>
        <w:t>-</w:t>
      </w:r>
      <w:r>
        <w:rPr>
          <w:color w:val="18181A"/>
          <w:w w:val="105"/>
        </w:rPr>
        <w:t>2363</w:t>
      </w:r>
    </w:p>
    <w:p w14:paraId="60376B77" w14:textId="15DFCE9A" w:rsidR="00120E0C" w:rsidRDefault="00467F7B">
      <w:pPr>
        <w:pStyle w:val="BodyText"/>
        <w:spacing w:line="271" w:lineRule="auto"/>
        <w:ind w:left="104" w:right="136" w:firstLine="449"/>
        <w:rPr>
          <w:color w:val="18181A"/>
          <w:w w:val="105"/>
        </w:rPr>
      </w:pPr>
      <w:r>
        <w:rPr>
          <w:color w:val="18181A"/>
          <w:w w:val="105"/>
        </w:rPr>
        <w:t>W</w:t>
      </w:r>
      <w:r>
        <w:rPr>
          <w:color w:val="2F3331"/>
          <w:w w:val="105"/>
        </w:rPr>
        <w:t>E</w:t>
      </w:r>
      <w:r>
        <w:rPr>
          <w:color w:val="18181A"/>
          <w:w w:val="105"/>
        </w:rPr>
        <w:t>B</w:t>
      </w:r>
      <w:r>
        <w:rPr>
          <w:color w:val="2F3331"/>
          <w:w w:val="105"/>
        </w:rPr>
        <w:t xml:space="preserve">: </w:t>
      </w:r>
      <w:hyperlink r:id="rId5">
        <w:r>
          <w:rPr>
            <w:color w:val="18181A"/>
            <w:w w:val="105"/>
          </w:rPr>
          <w:t>www.Damaonline.org</w:t>
        </w:r>
      </w:hyperlink>
      <w:r>
        <w:rPr>
          <w:color w:val="18181A"/>
          <w:w w:val="105"/>
        </w:rPr>
        <w:t xml:space="preserve"> </w:t>
      </w:r>
      <w:r>
        <w:rPr>
          <w:color w:val="2F3331"/>
          <w:w w:val="105"/>
        </w:rPr>
        <w:t>E-</w:t>
      </w:r>
      <w:r>
        <w:rPr>
          <w:color w:val="18181A"/>
          <w:w w:val="105"/>
        </w:rPr>
        <w:t xml:space="preserve">MAIL: </w:t>
      </w:r>
      <w:hyperlink r:id="rId6">
        <w:r>
          <w:rPr>
            <w:color w:val="18181A"/>
            <w:w w:val="105"/>
          </w:rPr>
          <w:t>office@damaonline</w:t>
        </w:r>
        <w:r>
          <w:rPr>
            <w:color w:val="2F3331"/>
            <w:w w:val="105"/>
          </w:rPr>
          <w:t>.</w:t>
        </w:r>
        <w:r>
          <w:rPr>
            <w:color w:val="18181A"/>
            <w:w w:val="105"/>
          </w:rPr>
          <w:t>org</w:t>
        </w:r>
      </w:hyperlink>
    </w:p>
    <w:p w14:paraId="2104E18B" w14:textId="77777777" w:rsidR="00467F7B" w:rsidRDefault="00467F7B">
      <w:pPr>
        <w:pStyle w:val="BodyText"/>
        <w:spacing w:line="271" w:lineRule="auto"/>
        <w:ind w:left="104" w:right="136" w:firstLine="449"/>
        <w:rPr>
          <w:color w:val="18181A"/>
          <w:w w:val="105"/>
        </w:rPr>
        <w:sectPr w:rsidR="00467F7B">
          <w:type w:val="continuous"/>
          <w:pgSz w:w="12240" w:h="15840"/>
          <w:pgMar w:top="440" w:right="440" w:bottom="280" w:left="740" w:header="720" w:footer="720" w:gutter="0"/>
          <w:cols w:num="2" w:space="720" w:equalWidth="0">
            <w:col w:w="6581" w:space="914"/>
            <w:col w:w="3565"/>
          </w:cols>
        </w:sectPr>
      </w:pPr>
    </w:p>
    <w:p w14:paraId="6E1C76D6" w14:textId="6C76B4D9" w:rsidR="00390C2A" w:rsidRDefault="00390C2A">
      <w:pPr>
        <w:pStyle w:val="BodyText"/>
        <w:spacing w:line="271" w:lineRule="auto"/>
        <w:ind w:left="104" w:right="136" w:firstLine="449"/>
        <w:rPr>
          <w:color w:val="18181A"/>
          <w:w w:val="105"/>
        </w:rPr>
      </w:pPr>
    </w:p>
    <w:p w14:paraId="549D4DA9" w14:textId="77777777" w:rsidR="00467F7B" w:rsidRDefault="00467F7B">
      <w:pPr>
        <w:pStyle w:val="BodyText"/>
        <w:spacing w:line="271" w:lineRule="auto"/>
        <w:ind w:left="104" w:right="136" w:firstLine="449"/>
        <w:sectPr w:rsidR="00467F7B">
          <w:type w:val="continuous"/>
          <w:pgSz w:w="12240" w:h="15840"/>
          <w:pgMar w:top="440" w:right="440" w:bottom="280" w:left="740" w:header="720" w:footer="720" w:gutter="0"/>
          <w:cols w:num="2" w:space="720" w:equalWidth="0">
            <w:col w:w="6581" w:space="914"/>
            <w:col w:w="3565"/>
          </w:cols>
        </w:sectPr>
      </w:pPr>
    </w:p>
    <w:p w14:paraId="0D453734" w14:textId="75D7030F" w:rsidR="00390C2A" w:rsidRDefault="00390C2A" w:rsidP="00467F7B">
      <w:pPr>
        <w:pStyle w:val="BodyText"/>
        <w:spacing w:line="271" w:lineRule="auto"/>
        <w:ind w:right="136"/>
      </w:pPr>
    </w:p>
    <w:p w14:paraId="7E395FCE" w14:textId="6DE90CA1" w:rsidR="00390C2A" w:rsidRDefault="00390C2A" w:rsidP="00390C2A">
      <w:pPr>
        <w:pStyle w:val="BodyText"/>
      </w:pPr>
    </w:p>
    <w:p w14:paraId="209677BF" w14:textId="477CAC95" w:rsidR="00390C2A" w:rsidRDefault="00390C2A" w:rsidP="00390C2A">
      <w:pPr>
        <w:pStyle w:val="BodyText"/>
      </w:pPr>
    </w:p>
    <w:p w14:paraId="77286F7C" w14:textId="77777777" w:rsidR="00BD5958" w:rsidRDefault="00BD5958" w:rsidP="00BD5958">
      <w:pPr>
        <w:spacing w:before="92"/>
        <w:ind w:left="1473"/>
        <w:rPr>
          <w:b/>
          <w:sz w:val="24"/>
        </w:rPr>
      </w:pPr>
      <w:proofErr w:type="spellStart"/>
      <w:r>
        <w:rPr>
          <w:b/>
          <w:sz w:val="24"/>
        </w:rPr>
        <w:t>MSW</w:t>
      </w:r>
      <w:proofErr w:type="spellEnd"/>
      <w:r>
        <w:rPr>
          <w:b/>
          <w:sz w:val="24"/>
        </w:rPr>
        <w:t xml:space="preserve"> Vacancy Credit</w:t>
      </w:r>
    </w:p>
    <w:p w14:paraId="6549E95F" w14:textId="77777777" w:rsidR="00BD5958" w:rsidRDefault="00BD5958" w:rsidP="00BD5958">
      <w:pPr>
        <w:pStyle w:val="BodyText"/>
        <w:spacing w:before="9"/>
        <w:rPr>
          <w:b/>
          <w:sz w:val="24"/>
        </w:rPr>
      </w:pPr>
    </w:p>
    <w:p w14:paraId="5F8ACF21" w14:textId="77777777" w:rsidR="00BD5958" w:rsidRDefault="00BD5958" w:rsidP="00BD5958">
      <w:pPr>
        <w:ind w:left="1473"/>
        <w:rPr>
          <w:b/>
          <w:sz w:val="24"/>
        </w:rPr>
      </w:pPr>
      <w:r>
        <w:rPr>
          <w:b/>
          <w:w w:val="105"/>
          <w:sz w:val="24"/>
        </w:rPr>
        <w:t xml:space="preserve">(Approved </w:t>
      </w:r>
      <w:r>
        <w:rPr>
          <w:rFonts w:ascii="Times New Roman"/>
          <w:b/>
          <w:w w:val="105"/>
          <w:sz w:val="28"/>
        </w:rPr>
        <w:t xml:space="preserve">by </w:t>
      </w:r>
      <w:r>
        <w:rPr>
          <w:b/>
          <w:w w:val="105"/>
          <w:sz w:val="24"/>
        </w:rPr>
        <w:t>the DAMA Board on 1/9/2014)</w:t>
      </w:r>
    </w:p>
    <w:p w14:paraId="6B391B39" w14:textId="77777777" w:rsidR="00BD5958" w:rsidRDefault="00BD5958" w:rsidP="00BD5958">
      <w:pPr>
        <w:pStyle w:val="BodyText"/>
        <w:spacing w:before="10"/>
        <w:rPr>
          <w:b/>
        </w:rPr>
      </w:pPr>
    </w:p>
    <w:p w14:paraId="08D64BAD" w14:textId="77777777" w:rsidR="00BD5958" w:rsidRDefault="00BD5958" w:rsidP="00BD5958">
      <w:pPr>
        <w:ind w:left="2192"/>
        <w:rPr>
          <w:b/>
          <w:sz w:val="24"/>
        </w:rPr>
      </w:pPr>
      <w:r>
        <w:rPr>
          <w:b/>
          <w:sz w:val="24"/>
          <w:u w:val="thick"/>
        </w:rPr>
        <w:t>Vacancy Credit</w:t>
      </w:r>
    </w:p>
    <w:p w14:paraId="2021E9F7" w14:textId="77777777" w:rsidR="00BD5958" w:rsidRDefault="00BD5958" w:rsidP="00BD5958">
      <w:pPr>
        <w:pStyle w:val="BodyText"/>
        <w:spacing w:before="4"/>
        <w:rPr>
          <w:b/>
          <w:sz w:val="26"/>
        </w:rPr>
      </w:pPr>
    </w:p>
    <w:p w14:paraId="50197276" w14:textId="77777777" w:rsidR="00BD5958" w:rsidRDefault="00BD5958" w:rsidP="00BD5958">
      <w:pPr>
        <w:pStyle w:val="BodyText"/>
        <w:spacing w:line="326" w:lineRule="auto"/>
        <w:ind w:left="2184" w:right="1375" w:firstLine="11"/>
      </w:pPr>
      <w:r>
        <w:rPr>
          <w:w w:val="105"/>
        </w:rPr>
        <w:t>"</w:t>
      </w:r>
      <w:r>
        <w:rPr>
          <w:w w:val="105"/>
          <w:u w:val="thick"/>
        </w:rPr>
        <w:t>Vacancies</w:t>
      </w:r>
      <w:r>
        <w:rPr>
          <w:spacing w:val="-1"/>
          <w:w w:val="105"/>
          <w:u w:val="thick"/>
        </w:rPr>
        <w:t xml:space="preserve"> </w:t>
      </w:r>
      <w:r>
        <w:rPr>
          <w:w w:val="105"/>
          <w:u w:val="thick"/>
        </w:rPr>
        <w:t>(reduction</w:t>
      </w:r>
      <w:r>
        <w:rPr>
          <w:spacing w:val="-6"/>
          <w:w w:val="105"/>
          <w:u w:val="thick"/>
        </w:rPr>
        <w:t xml:space="preserve"> </w:t>
      </w:r>
      <w:r>
        <w:rPr>
          <w:w w:val="105"/>
          <w:u w:val="thick"/>
        </w:rPr>
        <w:t>in</w:t>
      </w:r>
      <w:r>
        <w:rPr>
          <w:spacing w:val="-8"/>
          <w:w w:val="105"/>
          <w:u w:val="thick"/>
        </w:rPr>
        <w:t xml:space="preserve"> </w:t>
      </w:r>
      <w:r>
        <w:rPr>
          <w:w w:val="105"/>
          <w:u w:val="thick"/>
        </w:rPr>
        <w:t>quarterly bill)</w:t>
      </w:r>
      <w:r>
        <w:rPr>
          <w:spacing w:val="-14"/>
          <w:w w:val="105"/>
          <w:u w:val="thick"/>
        </w:rPr>
        <w:t xml:space="preserve"> </w:t>
      </w:r>
      <w:r>
        <w:rPr>
          <w:w w:val="105"/>
          <w:u w:val="thick"/>
        </w:rPr>
        <w:t>for</w:t>
      </w:r>
      <w:r>
        <w:rPr>
          <w:spacing w:val="1"/>
          <w:w w:val="105"/>
          <w:u w:val="thick"/>
        </w:rPr>
        <w:t xml:space="preserve"> </w:t>
      </w:r>
      <w:r>
        <w:rPr>
          <w:w w:val="105"/>
          <w:u w:val="thick"/>
        </w:rPr>
        <w:t>one</w:t>
      </w:r>
      <w:r>
        <w:rPr>
          <w:spacing w:val="-20"/>
          <w:w w:val="105"/>
          <w:u w:val="thick"/>
        </w:rPr>
        <w:t xml:space="preserve"> </w:t>
      </w:r>
      <w:r>
        <w:rPr>
          <w:w w:val="105"/>
          <w:u w:val="thick"/>
        </w:rPr>
        <w:t>full</w:t>
      </w:r>
      <w:r>
        <w:rPr>
          <w:spacing w:val="-15"/>
          <w:w w:val="105"/>
          <w:u w:val="thick"/>
        </w:rPr>
        <w:t xml:space="preserve"> </w:t>
      </w:r>
      <w:r>
        <w:rPr>
          <w:w w:val="105"/>
          <w:u w:val="thick"/>
        </w:rPr>
        <w:t>quarter,</w:t>
      </w:r>
      <w:r>
        <w:rPr>
          <w:spacing w:val="-16"/>
          <w:w w:val="105"/>
          <w:u w:val="thick"/>
        </w:rPr>
        <w:t xml:space="preserve"> </w:t>
      </w:r>
      <w:r>
        <w:rPr>
          <w:w w:val="105"/>
          <w:u w:val="thick"/>
        </w:rPr>
        <w:t>90</w:t>
      </w:r>
      <w:r>
        <w:rPr>
          <w:spacing w:val="-21"/>
          <w:w w:val="105"/>
          <w:u w:val="thick"/>
        </w:rPr>
        <w:t xml:space="preserve"> </w:t>
      </w:r>
      <w:r>
        <w:rPr>
          <w:w w:val="105"/>
          <w:u w:val="thick"/>
        </w:rPr>
        <w:t xml:space="preserve">consecutive days, </w:t>
      </w:r>
      <w:r>
        <w:rPr>
          <w:w w:val="105"/>
        </w:rPr>
        <w:t>will only be allowed for solid waste customers when they are the owners of the property, and the property is their primary residential address. Written notice must be provided by the customer to the DAMA Business Office prior to the start of the quarter in which the vacancy is requested.</w:t>
      </w:r>
      <w:r>
        <w:rPr>
          <w:spacing w:val="36"/>
          <w:w w:val="105"/>
        </w:rPr>
        <w:t xml:space="preserve"> </w:t>
      </w:r>
      <w:r>
        <w:rPr>
          <w:w w:val="105"/>
        </w:rPr>
        <w:t>There</w:t>
      </w:r>
      <w:r>
        <w:rPr>
          <w:spacing w:val="-18"/>
          <w:w w:val="105"/>
        </w:rPr>
        <w:t xml:space="preserve"> </w:t>
      </w:r>
      <w:r>
        <w:rPr>
          <w:w w:val="105"/>
        </w:rPr>
        <w:t>are</w:t>
      </w:r>
      <w:r>
        <w:rPr>
          <w:spacing w:val="-23"/>
          <w:w w:val="105"/>
        </w:rPr>
        <w:t xml:space="preserve"> </w:t>
      </w:r>
      <w:r>
        <w:rPr>
          <w:w w:val="105"/>
        </w:rPr>
        <w:t>no</w:t>
      </w:r>
      <w:r>
        <w:rPr>
          <w:spacing w:val="-31"/>
          <w:w w:val="105"/>
        </w:rPr>
        <w:t xml:space="preserve"> </w:t>
      </w:r>
      <w:r>
        <w:rPr>
          <w:w w:val="105"/>
        </w:rPr>
        <w:t>partial</w:t>
      </w:r>
      <w:r>
        <w:rPr>
          <w:spacing w:val="-23"/>
          <w:w w:val="105"/>
        </w:rPr>
        <w:t xml:space="preserve"> </w:t>
      </w:r>
      <w:r>
        <w:rPr>
          <w:w w:val="105"/>
        </w:rPr>
        <w:t>vacancies</w:t>
      </w:r>
      <w:r>
        <w:rPr>
          <w:spacing w:val="-7"/>
          <w:w w:val="105"/>
        </w:rPr>
        <w:t xml:space="preserve"> </w:t>
      </w:r>
      <w:r>
        <w:rPr>
          <w:w w:val="105"/>
        </w:rPr>
        <w:t>(less</w:t>
      </w:r>
      <w:r>
        <w:rPr>
          <w:spacing w:val="-27"/>
          <w:w w:val="105"/>
        </w:rPr>
        <w:t xml:space="preserve"> </w:t>
      </w:r>
      <w:r>
        <w:rPr>
          <w:w w:val="105"/>
        </w:rPr>
        <w:t>than</w:t>
      </w:r>
      <w:r>
        <w:rPr>
          <w:spacing w:val="-23"/>
          <w:w w:val="105"/>
        </w:rPr>
        <w:t xml:space="preserve"> </w:t>
      </w:r>
      <w:r>
        <w:rPr>
          <w:w w:val="105"/>
        </w:rPr>
        <w:t>one</w:t>
      </w:r>
      <w:r>
        <w:rPr>
          <w:spacing w:val="-30"/>
          <w:w w:val="105"/>
        </w:rPr>
        <w:t xml:space="preserve"> </w:t>
      </w:r>
      <w:r>
        <w:rPr>
          <w:w w:val="105"/>
        </w:rPr>
        <w:t>full</w:t>
      </w:r>
      <w:r>
        <w:rPr>
          <w:spacing w:val="-26"/>
          <w:w w:val="105"/>
        </w:rPr>
        <w:t xml:space="preserve"> </w:t>
      </w:r>
      <w:r>
        <w:rPr>
          <w:w w:val="105"/>
        </w:rPr>
        <w:t>quarter)</w:t>
      </w:r>
      <w:r>
        <w:rPr>
          <w:spacing w:val="-12"/>
          <w:w w:val="105"/>
        </w:rPr>
        <w:t xml:space="preserve"> </w:t>
      </w:r>
      <w:r>
        <w:rPr>
          <w:w w:val="105"/>
        </w:rPr>
        <w:t>and only</w:t>
      </w:r>
      <w:r>
        <w:rPr>
          <w:spacing w:val="-24"/>
          <w:w w:val="105"/>
        </w:rPr>
        <w:t xml:space="preserve"> </w:t>
      </w:r>
      <w:r>
        <w:rPr>
          <w:w w:val="105"/>
        </w:rPr>
        <w:t>one</w:t>
      </w:r>
      <w:r>
        <w:rPr>
          <w:spacing w:val="-27"/>
          <w:w w:val="105"/>
        </w:rPr>
        <w:t xml:space="preserve"> </w:t>
      </w:r>
      <w:r>
        <w:rPr>
          <w:w w:val="105"/>
        </w:rPr>
        <w:t>credit</w:t>
      </w:r>
      <w:r>
        <w:rPr>
          <w:spacing w:val="-17"/>
          <w:w w:val="105"/>
        </w:rPr>
        <w:t xml:space="preserve"> </w:t>
      </w:r>
      <w:r>
        <w:rPr>
          <w:w w:val="105"/>
        </w:rPr>
        <w:t>per</w:t>
      </w:r>
      <w:r>
        <w:rPr>
          <w:spacing w:val="-19"/>
          <w:w w:val="105"/>
        </w:rPr>
        <w:t xml:space="preserve"> </w:t>
      </w:r>
      <w:r>
        <w:rPr>
          <w:w w:val="105"/>
        </w:rPr>
        <w:t>EDU</w:t>
      </w:r>
      <w:r>
        <w:rPr>
          <w:spacing w:val="-24"/>
          <w:w w:val="105"/>
        </w:rPr>
        <w:t xml:space="preserve"> </w:t>
      </w:r>
      <w:r>
        <w:rPr>
          <w:w w:val="105"/>
        </w:rPr>
        <w:t>per</w:t>
      </w:r>
      <w:r>
        <w:rPr>
          <w:spacing w:val="-21"/>
          <w:w w:val="105"/>
        </w:rPr>
        <w:t xml:space="preserve"> </w:t>
      </w:r>
      <w:r>
        <w:rPr>
          <w:w w:val="105"/>
        </w:rPr>
        <w:t>year</w:t>
      </w:r>
      <w:r>
        <w:rPr>
          <w:spacing w:val="-21"/>
          <w:w w:val="105"/>
        </w:rPr>
        <w:t xml:space="preserve"> </w:t>
      </w:r>
      <w:r>
        <w:rPr>
          <w:w w:val="105"/>
        </w:rPr>
        <w:t>will</w:t>
      </w:r>
      <w:r>
        <w:rPr>
          <w:spacing w:val="-26"/>
          <w:w w:val="105"/>
        </w:rPr>
        <w:t xml:space="preserve"> </w:t>
      </w:r>
      <w:r>
        <w:rPr>
          <w:w w:val="105"/>
        </w:rPr>
        <w:t>be</w:t>
      </w:r>
      <w:r>
        <w:rPr>
          <w:spacing w:val="-28"/>
          <w:w w:val="105"/>
        </w:rPr>
        <w:t xml:space="preserve"> </w:t>
      </w:r>
      <w:r>
        <w:rPr>
          <w:w w:val="105"/>
        </w:rPr>
        <w:t>allowed.</w:t>
      </w:r>
      <w:r>
        <w:rPr>
          <w:spacing w:val="-18"/>
          <w:w w:val="105"/>
        </w:rPr>
        <w:t xml:space="preserve"> </w:t>
      </w:r>
      <w:r>
        <w:rPr>
          <w:w w:val="105"/>
        </w:rPr>
        <w:t>Special</w:t>
      </w:r>
      <w:r>
        <w:rPr>
          <w:spacing w:val="-23"/>
          <w:w w:val="105"/>
        </w:rPr>
        <w:t xml:space="preserve"> </w:t>
      </w:r>
      <w:r>
        <w:rPr>
          <w:w w:val="105"/>
        </w:rPr>
        <w:t>consideration</w:t>
      </w:r>
      <w:r>
        <w:rPr>
          <w:spacing w:val="-10"/>
          <w:w w:val="105"/>
        </w:rPr>
        <w:t xml:space="preserve"> </w:t>
      </w:r>
      <w:r>
        <w:rPr>
          <w:w w:val="105"/>
        </w:rPr>
        <w:t>will be</w:t>
      </w:r>
      <w:r>
        <w:rPr>
          <w:spacing w:val="-31"/>
          <w:w w:val="105"/>
        </w:rPr>
        <w:t xml:space="preserve"> </w:t>
      </w:r>
      <w:r>
        <w:rPr>
          <w:w w:val="105"/>
        </w:rPr>
        <w:t>granted</w:t>
      </w:r>
      <w:r>
        <w:rPr>
          <w:spacing w:val="-18"/>
          <w:w w:val="105"/>
        </w:rPr>
        <w:t xml:space="preserve"> </w:t>
      </w:r>
      <w:r>
        <w:rPr>
          <w:w w:val="105"/>
        </w:rPr>
        <w:t>in</w:t>
      </w:r>
      <w:r>
        <w:rPr>
          <w:spacing w:val="-25"/>
          <w:w w:val="105"/>
        </w:rPr>
        <w:t xml:space="preserve"> </w:t>
      </w:r>
      <w:r>
        <w:rPr>
          <w:w w:val="105"/>
        </w:rPr>
        <w:t>cases</w:t>
      </w:r>
      <w:r>
        <w:rPr>
          <w:spacing w:val="-27"/>
          <w:w w:val="105"/>
        </w:rPr>
        <w:t xml:space="preserve"> </w:t>
      </w:r>
      <w:r>
        <w:rPr>
          <w:w w:val="105"/>
        </w:rPr>
        <w:t>involving</w:t>
      </w:r>
      <w:r>
        <w:rPr>
          <w:spacing w:val="-28"/>
          <w:w w:val="105"/>
        </w:rPr>
        <w:t xml:space="preserve"> </w:t>
      </w:r>
      <w:r>
        <w:rPr>
          <w:w w:val="105"/>
        </w:rPr>
        <w:t>fire</w:t>
      </w:r>
      <w:r>
        <w:rPr>
          <w:spacing w:val="-28"/>
          <w:w w:val="105"/>
        </w:rPr>
        <w:t xml:space="preserve"> </w:t>
      </w:r>
      <w:r>
        <w:rPr>
          <w:w w:val="105"/>
        </w:rPr>
        <w:t>or</w:t>
      </w:r>
      <w:r>
        <w:rPr>
          <w:spacing w:val="-25"/>
          <w:w w:val="105"/>
        </w:rPr>
        <w:t xml:space="preserve"> </w:t>
      </w:r>
      <w:r>
        <w:rPr>
          <w:w w:val="105"/>
        </w:rPr>
        <w:t>condemnation.</w:t>
      </w:r>
    </w:p>
    <w:p w14:paraId="7B48E883" w14:textId="77777777" w:rsidR="00BD5958" w:rsidRDefault="00BD5958" w:rsidP="00BD5958">
      <w:pPr>
        <w:pStyle w:val="BodyText"/>
        <w:spacing w:before="195" w:line="331" w:lineRule="auto"/>
        <w:ind w:left="2183" w:right="1375"/>
      </w:pPr>
      <w:r>
        <w:rPr>
          <w:w w:val="105"/>
        </w:rPr>
        <w:t>Additional consideration must first be approved by the DAMA Board of Directors on a case by case basis."</w:t>
      </w:r>
    </w:p>
    <w:p w14:paraId="14F5B3F0" w14:textId="77777777" w:rsidR="00390C2A" w:rsidRDefault="00390C2A" w:rsidP="00390C2A">
      <w:pPr>
        <w:pStyle w:val="BodyText"/>
      </w:pPr>
      <w:bookmarkStart w:id="0" w:name="_GoBack"/>
      <w:bookmarkEnd w:id="0"/>
    </w:p>
    <w:sectPr w:rsidR="00390C2A" w:rsidSect="00FE23F0">
      <w:type w:val="continuous"/>
      <w:pgSz w:w="12240" w:h="15840"/>
      <w:pgMar w:top="440" w:right="440" w:bottom="280" w:left="740" w:header="720" w:footer="720" w:gutter="0"/>
      <w:cols w:space="9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E0C"/>
    <w:rsid w:val="00120E0C"/>
    <w:rsid w:val="00390C2A"/>
    <w:rsid w:val="00467F7B"/>
    <w:rsid w:val="00964D89"/>
    <w:rsid w:val="00BD5958"/>
    <w:rsid w:val="00C30E6C"/>
    <w:rsid w:val="00FE2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A30A"/>
  <w15:docId w15:val="{9287AFCF-BCC8-46E8-BA77-B1024A63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damaonline.org" TargetMode="External"/><Relationship Id="rId5" Type="http://schemas.openxmlformats.org/officeDocument/2006/relationships/hyperlink" Target="http://www.Damaonlin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Lee</dc:creator>
  <cp:lastModifiedBy>Susan Lee</cp:lastModifiedBy>
  <cp:revision>2</cp:revision>
  <dcterms:created xsi:type="dcterms:W3CDTF">2019-03-18T16:44:00Z</dcterms:created>
  <dcterms:modified xsi:type="dcterms:W3CDTF">2019-03-18T16:44:00Z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LANIER MP 3054</vt:lpwstr>
  </property>
  <property fmtid="{D5CDD505-2E9C-101B-9397-08002B2CF9AE}" pid="4" name="LastSaved">
    <vt:filetime>2018-12-10T00:00:00Z</vt:filetime>
  </property>
</Properties>
</file>